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E97">
        <w:rPr>
          <w:sz w:val="28"/>
          <w:szCs w:val="28"/>
        </w:rPr>
        <w:t xml:space="preserve">03 декабря </w:t>
      </w:r>
      <w:r w:rsidR="00F47B84" w:rsidRPr="00F47B84">
        <w:rPr>
          <w:sz w:val="28"/>
          <w:szCs w:val="28"/>
        </w:rPr>
        <w:t xml:space="preserve">2021года                                              </w:t>
      </w:r>
      <w:r w:rsidR="00EA4E97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EA4E97">
        <w:rPr>
          <w:sz w:val="28"/>
          <w:szCs w:val="28"/>
        </w:rPr>
        <w:t xml:space="preserve"> 65/15-6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69448B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Мокроольхов</w:t>
      </w:r>
      <w:r w:rsidR="00FC7EAD">
        <w:rPr>
          <w:bCs/>
          <w:sz w:val="28"/>
          <w:szCs w:val="28"/>
        </w:rPr>
        <w:t>ского</w:t>
      </w:r>
      <w:r w:rsidR="00F47B84" w:rsidRPr="00F47B84"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EA4E97" w:rsidRDefault="00F47B84" w:rsidP="00F47B84">
      <w:pPr>
        <w:ind w:right="15"/>
        <w:jc w:val="center"/>
        <w:rPr>
          <w:b/>
          <w:sz w:val="28"/>
          <w:szCs w:val="28"/>
        </w:rPr>
      </w:pPr>
      <w:r w:rsidRPr="00EA4E97">
        <w:rPr>
          <w:b/>
          <w:sz w:val="28"/>
          <w:szCs w:val="28"/>
        </w:rPr>
        <w:t>Принято Котов</w:t>
      </w:r>
      <w:r w:rsidR="009770C1" w:rsidRPr="00EA4E97">
        <w:rPr>
          <w:b/>
          <w:sz w:val="28"/>
          <w:szCs w:val="28"/>
        </w:rPr>
        <w:t>ской районной Думой</w:t>
      </w:r>
      <w:r w:rsidR="009770C1" w:rsidRPr="00EA4E97">
        <w:rPr>
          <w:b/>
          <w:sz w:val="28"/>
          <w:szCs w:val="28"/>
        </w:rPr>
        <w:tab/>
      </w:r>
      <w:r w:rsidR="00EA4E97" w:rsidRPr="00EA4E97">
        <w:rPr>
          <w:b/>
          <w:sz w:val="28"/>
          <w:szCs w:val="28"/>
        </w:rPr>
        <w:tab/>
        <w:t>3 декабря</w:t>
      </w:r>
      <w:r w:rsidRPr="00EA4E97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 xml:space="preserve">ия и застройки </w:t>
      </w:r>
      <w:r w:rsidR="0069448B">
        <w:rPr>
          <w:bCs/>
          <w:sz w:val="28"/>
          <w:szCs w:val="28"/>
        </w:rPr>
        <w:t>Мокроольхов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>утвержденные решением Котовской районной Думы от 30.11.2018г. № 6</w:t>
      </w:r>
      <w:r w:rsidR="0069448B">
        <w:rPr>
          <w:bCs/>
          <w:sz w:val="28"/>
          <w:szCs w:val="28"/>
        </w:rPr>
        <w:t>9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69448B">
        <w:rPr>
          <w:bCs/>
          <w:sz w:val="28"/>
          <w:szCs w:val="28"/>
        </w:rPr>
        <w:t>Мокроольхов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E051E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515191" w:rsidRPr="00515191">
        <w:rPr>
          <w:bCs/>
          <w:sz w:val="28"/>
          <w:szCs w:val="28"/>
        </w:rPr>
        <w:t>главы 7 раздела 3</w:t>
      </w:r>
      <w:r w:rsidR="00515191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820"/>
        <w:gridCol w:w="1702"/>
      </w:tblGrid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</w:t>
            </w:r>
          </w:p>
        </w:tc>
      </w:tr>
      <w:tr w:rsidR="0069448B" w:rsidRPr="0069448B" w:rsidTr="0069448B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4820" w:type="dxa"/>
            <w:tcBorders>
              <w:bottom w:val="nil"/>
            </w:tcBorders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Ведение сельского хозяйства.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2" w:type="dxa"/>
            <w:tcBorders>
              <w:bottom w:val="nil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1.0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0" w:name="P51"/>
            <w:bookmarkEnd w:id="0"/>
            <w:r w:rsidRPr="0069448B">
              <w:rPr>
                <w:sz w:val="28"/>
                <w:szCs w:val="28"/>
              </w:rPr>
              <w:t>1.1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1" w:name="P54"/>
            <w:bookmarkEnd w:id="1"/>
            <w:r w:rsidRPr="0069448B">
              <w:rPr>
                <w:sz w:val="28"/>
                <w:szCs w:val="28"/>
              </w:rPr>
              <w:t>1.2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Овощеводство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1.3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1.4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Садоводство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</w:t>
            </w:r>
            <w:r w:rsidRPr="0069448B">
              <w:rPr>
                <w:sz w:val="28"/>
                <w:szCs w:val="28"/>
              </w:rPr>
              <w:lastRenderedPageBreak/>
              <w:t>многолетних культур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1.5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2" w:name="P66"/>
            <w:bookmarkEnd w:id="2"/>
            <w:r w:rsidRPr="0069448B">
              <w:rPr>
                <w:sz w:val="28"/>
                <w:szCs w:val="28"/>
              </w:rPr>
              <w:t>1.6</w:t>
            </w:r>
          </w:p>
        </w:tc>
      </w:tr>
      <w:tr w:rsidR="0069448B" w:rsidRPr="0069448B" w:rsidTr="0069448B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nil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4820" w:type="dxa"/>
            <w:tcBorders>
              <w:bottom w:val="nil"/>
            </w:tcBorders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702" w:type="dxa"/>
            <w:tcBorders>
              <w:bottom w:val="nil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1.7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3" w:name="P76"/>
            <w:bookmarkEnd w:id="3"/>
            <w:r w:rsidRPr="0069448B">
              <w:rPr>
                <w:sz w:val="28"/>
                <w:szCs w:val="28"/>
              </w:rPr>
              <w:t>1.8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1.9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1.10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4" w:name="P91"/>
            <w:bookmarkEnd w:id="4"/>
            <w:r w:rsidRPr="0069448B">
              <w:rPr>
                <w:sz w:val="28"/>
                <w:szCs w:val="28"/>
              </w:rPr>
              <w:t>1.11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1.12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Рыбоводство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Осуществление хозяйственной </w:t>
            </w:r>
            <w:r w:rsidRPr="0069448B">
              <w:rPr>
                <w:sz w:val="28"/>
                <w:szCs w:val="28"/>
              </w:rPr>
              <w:lastRenderedPageBreak/>
              <w:t>деятельности, связанной с разведением и (или) содержанием, выращиванием объектов рыбоводства (аквакультуры);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1.13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1.14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5" w:name="P107"/>
            <w:bookmarkEnd w:id="5"/>
            <w:r w:rsidRPr="0069448B">
              <w:rPr>
                <w:sz w:val="28"/>
                <w:szCs w:val="28"/>
              </w:rPr>
              <w:t>1.15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1.16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Питомники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1.17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1.18</w:t>
            </w:r>
          </w:p>
        </w:tc>
      </w:tr>
      <w:tr w:rsidR="0069448B" w:rsidRPr="0069448B" w:rsidTr="0069448B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bottom w:val="single" w:sz="4" w:space="0" w:color="auto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Сенокошение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6" w:name="P120"/>
            <w:bookmarkEnd w:id="6"/>
            <w:r w:rsidRPr="0069448B">
              <w:rPr>
                <w:sz w:val="28"/>
                <w:szCs w:val="28"/>
              </w:rPr>
              <w:t>1.19</w:t>
            </w:r>
          </w:p>
        </w:tc>
      </w:tr>
      <w:tr w:rsidR="0069448B" w:rsidRPr="0069448B" w:rsidTr="0069448B">
        <w:tblPrEx>
          <w:tblBorders>
            <w:insideH w:val="nil"/>
          </w:tblBorders>
          <w:tblLook w:val="0000"/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Выпас сельскохозяйственных </w:t>
            </w:r>
            <w:r w:rsidRPr="0069448B">
              <w:rPr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Выпас сельскохозяйственных животных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bookmarkStart w:id="7" w:name="P124"/>
            <w:bookmarkEnd w:id="7"/>
            <w:r w:rsidRPr="0069448B">
              <w:rPr>
                <w:sz w:val="28"/>
                <w:szCs w:val="28"/>
              </w:rPr>
              <w:t>1.20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2.0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выращивание сельскохозяйственных </w:t>
            </w:r>
            <w:r w:rsidRPr="0069448B">
              <w:rPr>
                <w:sz w:val="28"/>
                <w:szCs w:val="28"/>
              </w:rPr>
              <w:lastRenderedPageBreak/>
              <w:t>культур;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2.1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2.1.1</w:t>
            </w:r>
          </w:p>
        </w:tc>
      </w:tr>
      <w:tr w:rsidR="0069448B" w:rsidRPr="0069448B" w:rsidTr="0069448B">
        <w:tblPrEx>
          <w:tblLook w:val="0000"/>
        </w:tblPrEx>
        <w:tc>
          <w:tcPr>
            <w:tcW w:w="3118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20" w:type="dxa"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702" w:type="dxa"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2.2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2.3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2.7.1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3.1.1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3.1.2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69448B">
              <w:rPr>
                <w:sz w:val="28"/>
                <w:szCs w:val="28"/>
              </w:rPr>
              <w:lastRenderedPageBreak/>
              <w:t>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3.2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Дома социального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3.2.1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3.2.2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3.2.3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3.2.4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69448B">
              <w:rPr>
                <w:sz w:val="28"/>
                <w:szCs w:val="28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3.3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3.4.1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станций скорой помощи;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3.4.2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</w:t>
            </w:r>
            <w:r w:rsidRPr="0069448B">
              <w:rPr>
                <w:sz w:val="28"/>
                <w:szCs w:val="28"/>
              </w:rPr>
              <w:lastRenderedPageBreak/>
              <w:t>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3.5.1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3.6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3.6.1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3.6.2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3.7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3.7.1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3.7.2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Общественное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3.8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3.8.1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3.10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3.10.1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69448B">
              <w:rPr>
                <w:sz w:val="28"/>
                <w:szCs w:val="28"/>
              </w:rPr>
              <w:lastRenderedPageBreak/>
              <w:t>организации гостиниц для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3.10.2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Рынки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Магазины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4.5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4.6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4.7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4.8.1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4.9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4.9.1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автозаправочных станций;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4.9.1.1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4.9.1.2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4.9.1.3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Ремонт автомобилей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4.9.1.4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4.10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69448B">
              <w:rPr>
                <w:sz w:val="28"/>
                <w:szCs w:val="28"/>
              </w:rPr>
              <w:lastRenderedPageBreak/>
              <w:t>комплексов в зданиях и сооружениях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5.1.2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Водный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5.1.5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Авиационный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5.1.6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Спортивные базы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5.1.7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пансионатов, туристических гостиниц, кемпингов, </w:t>
            </w:r>
            <w:r w:rsidRPr="0069448B">
              <w:rPr>
                <w:sz w:val="28"/>
                <w:szCs w:val="28"/>
              </w:rPr>
              <w:lastRenderedPageBreak/>
              <w:t>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5.2.1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Причалы для маломерных судов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5.4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геологических изысканий;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</w:t>
            </w:r>
            <w:r w:rsidRPr="0069448B">
              <w:rPr>
                <w:sz w:val="28"/>
                <w:szCs w:val="28"/>
              </w:rPr>
              <w:lastRenderedPageBreak/>
              <w:t>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6.2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6.4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6.5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6.6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Энергетика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 w:rsidRPr="0069448B">
              <w:rPr>
                <w:sz w:val="28"/>
                <w:szCs w:val="28"/>
              </w:rPr>
              <w:lastRenderedPageBreak/>
              <w:t>(золоотвалов, гидротехнических сооружений);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6.7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6.8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Склады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6.9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69448B">
              <w:rPr>
                <w:sz w:val="28"/>
                <w:szCs w:val="28"/>
              </w:rPr>
              <w:lastRenderedPageBreak/>
              <w:t>7.1 - 7.5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7.0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Железнодорожный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Железнодорожные пути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7.1.1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7.1.2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 w:rsidRPr="0069448B">
              <w:rPr>
                <w:sz w:val="28"/>
                <w:szCs w:val="28"/>
              </w:rPr>
              <w:lastRenderedPageBreak/>
              <w:t>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7.2.1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Обслуживание перевозок пассажиров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7.2.2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7.2.3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7.5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8.3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</w:t>
            </w:r>
            <w:r w:rsidRPr="0069448B">
              <w:rPr>
                <w:sz w:val="28"/>
                <w:szCs w:val="28"/>
              </w:rPr>
              <w:lastRenderedPageBreak/>
              <w:t>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9.1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Водные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11.0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11.1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11.2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</w:t>
            </w:r>
            <w:r w:rsidRPr="0069448B">
              <w:rPr>
                <w:sz w:val="28"/>
                <w:szCs w:val="28"/>
              </w:rPr>
              <w:lastRenderedPageBreak/>
              <w:t>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11.3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12.0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12.0.1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12.0.2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 соответствующих культовых сооружений;</w:t>
            </w:r>
          </w:p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деятельности по производству продукции ритуально-</w:t>
            </w:r>
            <w:r w:rsidRPr="0069448B">
              <w:rPr>
                <w:sz w:val="28"/>
                <w:szCs w:val="28"/>
              </w:rPr>
              <w:lastRenderedPageBreak/>
              <w:t>обрядового назначения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12.1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12.2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13.0</w:t>
            </w:r>
          </w:p>
        </w:tc>
      </w:tr>
      <w:tr w:rsidR="0069448B" w:rsidRPr="0069448B" w:rsidTr="0069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3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B" w:rsidRPr="0069448B" w:rsidRDefault="0069448B" w:rsidP="0069448B">
            <w:pPr>
              <w:ind w:right="15" w:firstLine="222"/>
              <w:jc w:val="both"/>
              <w:rPr>
                <w:sz w:val="28"/>
                <w:szCs w:val="28"/>
              </w:rPr>
            </w:pPr>
            <w:r w:rsidRPr="0069448B">
              <w:rPr>
                <w:sz w:val="28"/>
                <w:szCs w:val="28"/>
              </w:rPr>
              <w:t>13.1</w:t>
            </w:r>
          </w:p>
        </w:tc>
      </w:tr>
    </w:tbl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EA4E97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F47B84" w:rsidRDefault="00F47B84" w:rsidP="00F47B84">
      <w:pPr>
        <w:ind w:right="15" w:firstLine="709"/>
        <w:jc w:val="center"/>
        <w:rPr>
          <w:sz w:val="28"/>
          <w:szCs w:val="28"/>
        </w:rPr>
      </w:pPr>
    </w:p>
    <w:sectPr w:rsidR="00F47B84" w:rsidSect="00D44F95">
      <w:footnotePr>
        <w:pos w:val="beneathText"/>
      </w:footnotePr>
      <w:pgSz w:w="11905" w:h="16837"/>
      <w:pgMar w:top="426" w:right="706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EF" w:rsidRDefault="00DE0DEF" w:rsidP="0093242C">
      <w:r>
        <w:separator/>
      </w:r>
    </w:p>
  </w:endnote>
  <w:endnote w:type="continuationSeparator" w:id="1">
    <w:p w:rsidR="00DE0DEF" w:rsidRDefault="00DE0DEF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EF" w:rsidRDefault="00DE0DEF" w:rsidP="0093242C">
      <w:r>
        <w:separator/>
      </w:r>
    </w:p>
  </w:footnote>
  <w:footnote w:type="continuationSeparator" w:id="1">
    <w:p w:rsidR="00DE0DEF" w:rsidRDefault="00DE0DEF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7A13"/>
    <w:rsid w:val="00090308"/>
    <w:rsid w:val="00092E9F"/>
    <w:rsid w:val="000E6A55"/>
    <w:rsid w:val="000F024C"/>
    <w:rsid w:val="000F595F"/>
    <w:rsid w:val="0010676B"/>
    <w:rsid w:val="0011315D"/>
    <w:rsid w:val="00120804"/>
    <w:rsid w:val="001212E1"/>
    <w:rsid w:val="00134194"/>
    <w:rsid w:val="001E1C3D"/>
    <w:rsid w:val="001E3BB4"/>
    <w:rsid w:val="001F2EA2"/>
    <w:rsid w:val="00207BF2"/>
    <w:rsid w:val="002332C4"/>
    <w:rsid w:val="0024343D"/>
    <w:rsid w:val="002506AC"/>
    <w:rsid w:val="002864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47C7"/>
    <w:rsid w:val="0041336D"/>
    <w:rsid w:val="00432466"/>
    <w:rsid w:val="00484FE2"/>
    <w:rsid w:val="00497ABE"/>
    <w:rsid w:val="004A3DF7"/>
    <w:rsid w:val="004B36B3"/>
    <w:rsid w:val="004D54D9"/>
    <w:rsid w:val="00515191"/>
    <w:rsid w:val="00546D6C"/>
    <w:rsid w:val="00561D2D"/>
    <w:rsid w:val="00570AA7"/>
    <w:rsid w:val="00586A73"/>
    <w:rsid w:val="00597209"/>
    <w:rsid w:val="005B280C"/>
    <w:rsid w:val="005C3A4C"/>
    <w:rsid w:val="005D0D9F"/>
    <w:rsid w:val="005D350B"/>
    <w:rsid w:val="005D5ECE"/>
    <w:rsid w:val="005E5B19"/>
    <w:rsid w:val="006235E1"/>
    <w:rsid w:val="00667F6A"/>
    <w:rsid w:val="0069448B"/>
    <w:rsid w:val="006B3B71"/>
    <w:rsid w:val="006C4C19"/>
    <w:rsid w:val="00700675"/>
    <w:rsid w:val="00722273"/>
    <w:rsid w:val="007336B2"/>
    <w:rsid w:val="00741784"/>
    <w:rsid w:val="00757CDC"/>
    <w:rsid w:val="00767F4B"/>
    <w:rsid w:val="00783F47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640E"/>
    <w:rsid w:val="008D0261"/>
    <w:rsid w:val="008D038D"/>
    <w:rsid w:val="008D4E44"/>
    <w:rsid w:val="00904C3A"/>
    <w:rsid w:val="0093242C"/>
    <w:rsid w:val="009445FB"/>
    <w:rsid w:val="00964C2C"/>
    <w:rsid w:val="009770C1"/>
    <w:rsid w:val="00990092"/>
    <w:rsid w:val="009B0536"/>
    <w:rsid w:val="009C1BA3"/>
    <w:rsid w:val="009E4079"/>
    <w:rsid w:val="009F0AD7"/>
    <w:rsid w:val="00A2162F"/>
    <w:rsid w:val="00A52F5B"/>
    <w:rsid w:val="00A72852"/>
    <w:rsid w:val="00A76850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22313"/>
    <w:rsid w:val="00C3182F"/>
    <w:rsid w:val="00C342C0"/>
    <w:rsid w:val="00C34644"/>
    <w:rsid w:val="00C5406F"/>
    <w:rsid w:val="00C57195"/>
    <w:rsid w:val="00CA07BE"/>
    <w:rsid w:val="00CC40C1"/>
    <w:rsid w:val="00D21C8A"/>
    <w:rsid w:val="00D44F95"/>
    <w:rsid w:val="00D617BA"/>
    <w:rsid w:val="00D75E2B"/>
    <w:rsid w:val="00D76985"/>
    <w:rsid w:val="00D8251A"/>
    <w:rsid w:val="00DA7A40"/>
    <w:rsid w:val="00DC62AC"/>
    <w:rsid w:val="00DD6DBA"/>
    <w:rsid w:val="00DE0DEF"/>
    <w:rsid w:val="00DF5E21"/>
    <w:rsid w:val="00E051EF"/>
    <w:rsid w:val="00E172EE"/>
    <w:rsid w:val="00E30689"/>
    <w:rsid w:val="00E348BF"/>
    <w:rsid w:val="00E60604"/>
    <w:rsid w:val="00E6633F"/>
    <w:rsid w:val="00E87668"/>
    <w:rsid w:val="00EA1E43"/>
    <w:rsid w:val="00EA4E97"/>
    <w:rsid w:val="00EA60C1"/>
    <w:rsid w:val="00EC086F"/>
    <w:rsid w:val="00EE126D"/>
    <w:rsid w:val="00F057E3"/>
    <w:rsid w:val="00F30E79"/>
    <w:rsid w:val="00F315B7"/>
    <w:rsid w:val="00F47B84"/>
    <w:rsid w:val="00F86054"/>
    <w:rsid w:val="00FB34A2"/>
    <w:rsid w:val="00FB7C72"/>
    <w:rsid w:val="00FC7EAD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FADD-8DA2-4756-BBDA-32A08F5C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2021-03-10T07:05:00Z</cp:lastPrinted>
  <dcterms:created xsi:type="dcterms:W3CDTF">2021-12-03T10:15:00Z</dcterms:created>
  <dcterms:modified xsi:type="dcterms:W3CDTF">2021-12-03T10:15:00Z</dcterms:modified>
</cp:coreProperties>
</file>